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3A" w:rsidRPr="002030EB" w:rsidRDefault="002030EB">
      <w:pPr>
        <w:rPr>
          <w:b/>
          <w:sz w:val="32"/>
          <w:szCs w:val="32"/>
        </w:rPr>
      </w:pPr>
      <w:bookmarkStart w:id="0" w:name="_GoBack"/>
      <w:bookmarkEnd w:id="0"/>
      <w:r w:rsidRPr="002030EB">
        <w:rPr>
          <w:b/>
          <w:sz w:val="32"/>
          <w:szCs w:val="32"/>
        </w:rPr>
        <w:t>AP GOVERNMENT AND POLITICS</w:t>
      </w:r>
    </w:p>
    <w:p w:rsidR="002030EB" w:rsidRPr="002030EB" w:rsidRDefault="002030EB">
      <w:pPr>
        <w:rPr>
          <w:b/>
          <w:sz w:val="32"/>
          <w:szCs w:val="32"/>
        </w:rPr>
      </w:pPr>
      <w:r w:rsidRPr="002030EB">
        <w:rPr>
          <w:b/>
          <w:sz w:val="32"/>
          <w:szCs w:val="32"/>
        </w:rPr>
        <w:t>REVIEW OF KEY TERMS</w:t>
      </w:r>
    </w:p>
    <w:tbl>
      <w:tblPr>
        <w:tblStyle w:val="TableGrid"/>
        <w:tblW w:w="10098" w:type="dxa"/>
        <w:tblLayout w:type="fixed"/>
        <w:tblLook w:val="04A0" w:firstRow="1" w:lastRow="0" w:firstColumn="1" w:lastColumn="0" w:noHBand="0" w:noVBand="1"/>
      </w:tblPr>
      <w:tblGrid>
        <w:gridCol w:w="2561"/>
        <w:gridCol w:w="3487"/>
        <w:gridCol w:w="4050"/>
      </w:tblGrid>
      <w:tr w:rsidR="002030EB" w:rsidTr="00822F7E">
        <w:tc>
          <w:tcPr>
            <w:tcW w:w="2561" w:type="dxa"/>
          </w:tcPr>
          <w:p w:rsidR="002030EB" w:rsidRPr="008A56D7" w:rsidRDefault="002030EB">
            <w:pPr>
              <w:rPr>
                <w:rFonts w:ascii="Tahoma" w:hAnsi="Tahoma" w:cs="Tahoma"/>
                <w:b/>
                <w:sz w:val="24"/>
                <w:szCs w:val="24"/>
              </w:rPr>
            </w:pPr>
            <w:r w:rsidRPr="008A56D7">
              <w:rPr>
                <w:rFonts w:ascii="Tahoma" w:hAnsi="Tahoma" w:cs="Tahoma"/>
                <w:b/>
                <w:sz w:val="24"/>
                <w:szCs w:val="24"/>
              </w:rPr>
              <w:t>KEY TERM</w:t>
            </w:r>
            <w:r w:rsidR="008A56D7">
              <w:rPr>
                <w:rFonts w:ascii="Tahoma" w:hAnsi="Tahoma" w:cs="Tahoma"/>
                <w:b/>
                <w:sz w:val="24"/>
                <w:szCs w:val="24"/>
              </w:rPr>
              <w:t xml:space="preserve"> </w:t>
            </w:r>
          </w:p>
        </w:tc>
        <w:tc>
          <w:tcPr>
            <w:tcW w:w="3487" w:type="dxa"/>
          </w:tcPr>
          <w:p w:rsidR="002030EB" w:rsidRPr="008A56D7" w:rsidRDefault="002030EB">
            <w:pPr>
              <w:rPr>
                <w:rFonts w:ascii="Tahoma" w:hAnsi="Tahoma" w:cs="Tahoma"/>
                <w:b/>
                <w:sz w:val="24"/>
                <w:szCs w:val="24"/>
              </w:rPr>
            </w:pPr>
            <w:r w:rsidRPr="008A56D7">
              <w:rPr>
                <w:rFonts w:ascii="Tahoma" w:hAnsi="Tahoma" w:cs="Tahoma"/>
                <w:b/>
                <w:sz w:val="24"/>
                <w:szCs w:val="24"/>
              </w:rPr>
              <w:t>DEFINITION</w:t>
            </w:r>
          </w:p>
        </w:tc>
        <w:tc>
          <w:tcPr>
            <w:tcW w:w="4050" w:type="dxa"/>
          </w:tcPr>
          <w:p w:rsidR="002030EB" w:rsidRPr="008A56D7" w:rsidRDefault="002030EB">
            <w:pPr>
              <w:rPr>
                <w:rFonts w:ascii="Tahoma" w:hAnsi="Tahoma" w:cs="Tahoma"/>
                <w:b/>
                <w:sz w:val="24"/>
                <w:szCs w:val="24"/>
              </w:rPr>
            </w:pPr>
            <w:r w:rsidRPr="008A56D7">
              <w:rPr>
                <w:rFonts w:ascii="Tahoma" w:hAnsi="Tahoma" w:cs="Tahoma"/>
                <w:b/>
                <w:sz w:val="24"/>
                <w:szCs w:val="24"/>
              </w:rPr>
              <w:t>EXAMPLE</w:t>
            </w:r>
          </w:p>
        </w:tc>
      </w:tr>
      <w:tr w:rsidR="001F6B50" w:rsidTr="00822F7E">
        <w:tc>
          <w:tcPr>
            <w:tcW w:w="2561" w:type="dxa"/>
          </w:tcPr>
          <w:p w:rsidR="001F6B50" w:rsidRPr="008A56D7" w:rsidRDefault="001F6B50">
            <w:pPr>
              <w:rPr>
                <w:b/>
                <w:sz w:val="32"/>
                <w:szCs w:val="32"/>
              </w:rPr>
            </w:pPr>
            <w:r w:rsidRPr="008A56D7">
              <w:rPr>
                <w:b/>
                <w:sz w:val="32"/>
                <w:szCs w:val="32"/>
              </w:rPr>
              <w:t>Gerrymandering</w:t>
            </w:r>
          </w:p>
        </w:tc>
        <w:tc>
          <w:tcPr>
            <w:tcW w:w="3487" w:type="dxa"/>
          </w:tcPr>
          <w:p w:rsidR="001F6B50" w:rsidRPr="008A56D7" w:rsidRDefault="001F6B50">
            <w:pPr>
              <w:rPr>
                <w:b/>
                <w:sz w:val="20"/>
                <w:szCs w:val="20"/>
              </w:rPr>
            </w:pPr>
            <w:r w:rsidRPr="008A56D7">
              <w:rPr>
                <w:rFonts w:cs="Arial"/>
                <w:color w:val="444444"/>
                <w:sz w:val="20"/>
                <w:szCs w:val="20"/>
                <w:shd w:val="clear" w:color="auto" w:fill="FFFFFF"/>
              </w:rPr>
              <w:t xml:space="preserve"> The deliberate drawing </w:t>
            </w:r>
            <w:r w:rsidR="008A56D7" w:rsidRPr="008A56D7">
              <w:rPr>
                <w:rFonts w:cs="Arial"/>
                <w:color w:val="444444"/>
                <w:sz w:val="20"/>
                <w:szCs w:val="20"/>
                <w:shd w:val="clear" w:color="auto" w:fill="FFFFFF"/>
              </w:rPr>
              <w:t xml:space="preserve">of </w:t>
            </w:r>
            <w:r w:rsidR="008A56D7">
              <w:rPr>
                <w:rFonts w:cs="Arial"/>
                <w:color w:val="444444"/>
                <w:sz w:val="20"/>
                <w:szCs w:val="20"/>
                <w:shd w:val="clear" w:color="auto" w:fill="FFFFFF"/>
              </w:rPr>
              <w:t xml:space="preserve">the boundaries of </w:t>
            </w:r>
            <w:r w:rsidRPr="008A56D7">
              <w:rPr>
                <w:rFonts w:cs="Arial"/>
                <w:color w:val="444444"/>
                <w:sz w:val="20"/>
                <w:szCs w:val="20"/>
                <w:shd w:val="clear" w:color="auto" w:fill="FFFFFF"/>
              </w:rPr>
              <w:t>districts in a way that gives one party an unfair advantage over its rivals.</w:t>
            </w:r>
            <w:r w:rsidR="008A56D7" w:rsidRPr="008A56D7">
              <w:rPr>
                <w:rFonts w:cs="Arial"/>
                <w:color w:val="444444"/>
                <w:sz w:val="20"/>
                <w:szCs w:val="20"/>
                <w:shd w:val="clear" w:color="auto" w:fill="FFFFFF"/>
              </w:rPr>
              <w:t xml:space="preserve"> Both parties do it and it is legal but not democratic.</w:t>
            </w:r>
            <w:r w:rsidRPr="008A56D7">
              <w:rPr>
                <w:rFonts w:cs="Arial"/>
                <w:color w:val="444444"/>
                <w:sz w:val="20"/>
                <w:szCs w:val="20"/>
                <w:shd w:val="clear" w:color="auto" w:fill="FFFFFF"/>
              </w:rPr>
              <w:t xml:space="preserve"> </w:t>
            </w:r>
            <w:r w:rsidR="008A56D7">
              <w:rPr>
                <w:rFonts w:cs="Arial"/>
                <w:color w:val="444444"/>
                <w:sz w:val="20"/>
                <w:szCs w:val="20"/>
                <w:shd w:val="clear" w:color="auto" w:fill="FFFFFF"/>
              </w:rPr>
              <w:t xml:space="preserve">The party that controls each state legislature gets to decide how to do it! </w:t>
            </w:r>
            <w:r w:rsidRPr="008A56D7">
              <w:rPr>
                <w:rFonts w:cs="Arial"/>
                <w:color w:val="444444"/>
                <w:sz w:val="20"/>
                <w:szCs w:val="20"/>
                <w:shd w:val="clear" w:color="auto" w:fill="FFFFFF"/>
              </w:rPr>
              <w:t>The term is derived from the name of Governor </w:t>
            </w:r>
            <w:bookmarkStart w:id="1" w:name="ref25820"/>
            <w:bookmarkEnd w:id="1"/>
            <w:r w:rsidRPr="008A56D7">
              <w:rPr>
                <w:b/>
                <w:sz w:val="20"/>
                <w:szCs w:val="20"/>
              </w:rPr>
              <w:fldChar w:fldCharType="begin"/>
            </w:r>
            <w:r w:rsidRPr="008A56D7">
              <w:rPr>
                <w:b/>
                <w:sz w:val="20"/>
                <w:szCs w:val="20"/>
              </w:rPr>
              <w:instrText xml:space="preserve"> HYPERLINK "http://www.britannica.com/EBchecked/topic/231862/Elbridge-Gerry" </w:instrText>
            </w:r>
            <w:r w:rsidRPr="008A56D7">
              <w:rPr>
                <w:b/>
                <w:sz w:val="20"/>
                <w:szCs w:val="20"/>
              </w:rPr>
              <w:fldChar w:fldCharType="separate"/>
            </w:r>
            <w:r w:rsidRPr="008A56D7">
              <w:rPr>
                <w:rFonts w:cs="Arial"/>
                <w:b/>
                <w:sz w:val="20"/>
                <w:szCs w:val="20"/>
                <w:bdr w:val="none" w:sz="0" w:space="0" w:color="auto" w:frame="1"/>
              </w:rPr>
              <w:t>Elbridge Gerry</w:t>
            </w:r>
            <w:r w:rsidRPr="008A56D7">
              <w:rPr>
                <w:b/>
                <w:sz w:val="20"/>
                <w:szCs w:val="20"/>
              </w:rPr>
              <w:fldChar w:fldCharType="end"/>
            </w:r>
            <w:r w:rsidRPr="008A56D7">
              <w:rPr>
                <w:rFonts w:cs="Arial"/>
                <w:color w:val="444444"/>
                <w:sz w:val="20"/>
                <w:szCs w:val="20"/>
                <w:shd w:val="clear" w:color="auto" w:fill="FFFFFF"/>
              </w:rPr>
              <w:t> of Massachusetts, whose administration enacted a law in 18</w:t>
            </w:r>
            <w:r w:rsidR="008A56D7">
              <w:rPr>
                <w:rFonts w:cs="Arial"/>
                <w:color w:val="444444"/>
                <w:sz w:val="20"/>
                <w:szCs w:val="20"/>
                <w:shd w:val="clear" w:color="auto" w:fill="FFFFFF"/>
              </w:rPr>
              <w:t>12 defining new state</w:t>
            </w:r>
            <w:r w:rsidRPr="008A56D7">
              <w:rPr>
                <w:rFonts w:cs="Arial"/>
                <w:color w:val="444444"/>
                <w:sz w:val="20"/>
                <w:szCs w:val="20"/>
                <w:shd w:val="clear" w:color="auto" w:fill="FFFFFF"/>
              </w:rPr>
              <w:t xml:space="preserve"> districts</w:t>
            </w:r>
          </w:p>
        </w:tc>
        <w:tc>
          <w:tcPr>
            <w:tcW w:w="4050" w:type="dxa"/>
          </w:tcPr>
          <w:p w:rsidR="001F6B50" w:rsidRPr="008A56D7" w:rsidRDefault="008A56D7">
            <w:pPr>
              <w:rPr>
                <w:sz w:val="24"/>
                <w:szCs w:val="24"/>
              </w:rPr>
            </w:pPr>
            <w:r w:rsidRPr="008A56D7">
              <w:rPr>
                <w:sz w:val="24"/>
                <w:szCs w:val="24"/>
              </w:rPr>
              <w:t xml:space="preserve">California voters took the power to </w:t>
            </w:r>
            <w:r>
              <w:rPr>
                <w:sz w:val="24"/>
                <w:szCs w:val="24"/>
              </w:rPr>
              <w:t>‘</w:t>
            </w:r>
            <w:r w:rsidRPr="008A56D7">
              <w:rPr>
                <w:sz w:val="24"/>
                <w:szCs w:val="24"/>
              </w:rPr>
              <w:t>gerrymander</w:t>
            </w:r>
            <w:r>
              <w:rPr>
                <w:sz w:val="24"/>
                <w:szCs w:val="24"/>
              </w:rPr>
              <w:t>’</w:t>
            </w:r>
            <w:r w:rsidRPr="008A56D7">
              <w:rPr>
                <w:sz w:val="24"/>
                <w:szCs w:val="24"/>
              </w:rPr>
              <w:t xml:space="preserve"> away from the majority party by appointing an ‘independent’ commission to redraw the districts every ten years after the census count.</w:t>
            </w:r>
          </w:p>
        </w:tc>
      </w:tr>
      <w:tr w:rsidR="002030EB" w:rsidTr="00822F7E">
        <w:tc>
          <w:tcPr>
            <w:tcW w:w="2561" w:type="dxa"/>
          </w:tcPr>
          <w:p w:rsidR="002030EB" w:rsidRPr="002030EB" w:rsidRDefault="002030EB">
            <w:pPr>
              <w:rPr>
                <w:b/>
                <w:sz w:val="32"/>
                <w:szCs w:val="32"/>
              </w:rPr>
            </w:pPr>
            <w:r w:rsidRPr="002030EB">
              <w:rPr>
                <w:b/>
                <w:sz w:val="32"/>
                <w:szCs w:val="32"/>
              </w:rPr>
              <w:t xml:space="preserve">Writ of </w:t>
            </w:r>
            <w:proofErr w:type="spellStart"/>
            <w:r w:rsidRPr="002030EB">
              <w:rPr>
                <w:b/>
                <w:sz w:val="32"/>
                <w:szCs w:val="32"/>
              </w:rPr>
              <w:t>Cetiorari</w:t>
            </w:r>
            <w:proofErr w:type="spellEnd"/>
          </w:p>
        </w:tc>
        <w:tc>
          <w:tcPr>
            <w:tcW w:w="3487" w:type="dxa"/>
          </w:tcPr>
          <w:p w:rsidR="002030EB" w:rsidRPr="002030EB" w:rsidRDefault="002030EB">
            <w:pPr>
              <w:rPr>
                <w:sz w:val="20"/>
                <w:szCs w:val="20"/>
              </w:rPr>
            </w:pPr>
            <w:r w:rsidRPr="002030EB">
              <w:rPr>
                <w:sz w:val="20"/>
                <w:szCs w:val="20"/>
              </w:rPr>
              <w:t>A formal document issued from the Supreme Court to a lower federal court or state court that calls up a case for review. It takes 4 of the 9 Supreme Court justices to agree to call up a case for review this is known as the- “Rule of Four”</w:t>
            </w:r>
          </w:p>
        </w:tc>
        <w:tc>
          <w:tcPr>
            <w:tcW w:w="4050" w:type="dxa"/>
          </w:tcPr>
          <w:p w:rsidR="002030EB" w:rsidRPr="002030EB" w:rsidRDefault="002030EB">
            <w:pPr>
              <w:rPr>
                <w:sz w:val="20"/>
                <w:szCs w:val="20"/>
              </w:rPr>
            </w:pPr>
            <w:r w:rsidRPr="002030EB">
              <w:rPr>
                <w:sz w:val="20"/>
                <w:szCs w:val="20"/>
              </w:rPr>
              <w:t xml:space="preserve">The Supreme Court agrees to hear the California case that banned same sex marriage in 2008. The Court issued a ‘writ of </w:t>
            </w:r>
            <w:proofErr w:type="spellStart"/>
            <w:r w:rsidRPr="002030EB">
              <w:rPr>
                <w:sz w:val="20"/>
                <w:szCs w:val="20"/>
              </w:rPr>
              <w:t>cetiorari</w:t>
            </w:r>
            <w:proofErr w:type="spellEnd"/>
            <w:r w:rsidRPr="002030EB">
              <w:rPr>
                <w:sz w:val="20"/>
                <w:szCs w:val="20"/>
              </w:rPr>
              <w:t>’ after 5 of the justices agreed to hear the appeal.</w:t>
            </w:r>
          </w:p>
        </w:tc>
      </w:tr>
      <w:tr w:rsidR="002030EB" w:rsidTr="00822F7E">
        <w:tc>
          <w:tcPr>
            <w:tcW w:w="2561" w:type="dxa"/>
          </w:tcPr>
          <w:p w:rsidR="002030EB" w:rsidRPr="00F84350" w:rsidRDefault="002030EB">
            <w:pPr>
              <w:rPr>
                <w:b/>
                <w:sz w:val="36"/>
                <w:szCs w:val="36"/>
              </w:rPr>
            </w:pPr>
            <w:r w:rsidRPr="00F84350">
              <w:rPr>
                <w:b/>
                <w:sz w:val="36"/>
                <w:szCs w:val="36"/>
              </w:rPr>
              <w:t xml:space="preserve">Earmarks </w:t>
            </w:r>
          </w:p>
        </w:tc>
        <w:tc>
          <w:tcPr>
            <w:tcW w:w="3487" w:type="dxa"/>
          </w:tcPr>
          <w:p w:rsidR="002030EB" w:rsidRPr="00F84350" w:rsidRDefault="00F84350">
            <w:r w:rsidRPr="00F84350">
              <w:rPr>
                <w:rFonts w:cs="Helvetica"/>
              </w:rPr>
              <w:t>Members of Congress use "earmarks" to provide</w:t>
            </w:r>
            <w:r w:rsidR="00822F7E">
              <w:rPr>
                <w:rFonts w:cs="Helvetica"/>
              </w:rPr>
              <w:t xml:space="preserve"> federal </w:t>
            </w:r>
            <w:proofErr w:type="gramStart"/>
            <w:r w:rsidR="00822F7E">
              <w:rPr>
                <w:rFonts w:cs="Helvetica"/>
              </w:rPr>
              <w:t>funding  $</w:t>
            </w:r>
            <w:proofErr w:type="gramEnd"/>
            <w:r w:rsidR="00822F7E">
              <w:rPr>
                <w:rFonts w:cs="Helvetica"/>
              </w:rPr>
              <w:t>$$</w:t>
            </w:r>
            <w:r w:rsidRPr="00F84350">
              <w:rPr>
                <w:rStyle w:val="apple-converted-space"/>
                <w:rFonts w:cs="Helvetica"/>
              </w:rPr>
              <w:t>  </w:t>
            </w:r>
            <w:r w:rsidRPr="00F84350">
              <w:rPr>
                <w:rFonts w:cs="Helvetica"/>
              </w:rPr>
              <w:t>to companies, projects, groups and organizations, often in their district.</w:t>
            </w:r>
          </w:p>
        </w:tc>
        <w:tc>
          <w:tcPr>
            <w:tcW w:w="4050" w:type="dxa"/>
          </w:tcPr>
          <w:p w:rsidR="00F84350" w:rsidRDefault="00F84350">
            <w:r>
              <w:t>Congressman Mark Takano votes for a $70 billion transportation bill that ‘earmarks’ $97 million for Freeway 91 improvements</w:t>
            </w:r>
          </w:p>
          <w:p w:rsidR="002030EB" w:rsidRPr="00A51AAE" w:rsidRDefault="006A721E">
            <w:hyperlink r:id="rId5" w:history="1">
              <w:r w:rsidR="00F84350" w:rsidRPr="00A51AAE">
                <w:rPr>
                  <w:rStyle w:val="Hyperlink"/>
                  <w:color w:val="auto"/>
                </w:rPr>
                <w:t>http://www.opensecrets.org/earmarks/</w:t>
              </w:r>
            </w:hyperlink>
          </w:p>
          <w:p w:rsidR="00F84350" w:rsidRDefault="00F84350"/>
        </w:tc>
      </w:tr>
      <w:tr w:rsidR="002030EB" w:rsidTr="00822F7E">
        <w:tc>
          <w:tcPr>
            <w:tcW w:w="2561" w:type="dxa"/>
          </w:tcPr>
          <w:p w:rsidR="002030EB" w:rsidRPr="00F84350" w:rsidRDefault="00F84350">
            <w:pPr>
              <w:rPr>
                <w:b/>
                <w:sz w:val="32"/>
                <w:szCs w:val="32"/>
              </w:rPr>
            </w:pPr>
            <w:r w:rsidRPr="00F84350">
              <w:rPr>
                <w:b/>
                <w:sz w:val="32"/>
                <w:szCs w:val="32"/>
              </w:rPr>
              <w:t>Pork Barrel</w:t>
            </w:r>
          </w:p>
        </w:tc>
        <w:tc>
          <w:tcPr>
            <w:tcW w:w="3487" w:type="dxa"/>
          </w:tcPr>
          <w:p w:rsidR="002030EB" w:rsidRDefault="00F84350">
            <w:r>
              <w:t xml:space="preserve">Similar to ‘earmarks’ but with a negative meaning. One </w:t>
            </w:r>
            <w:proofErr w:type="spellStart"/>
            <w:r>
              <w:t>Congresswo</w:t>
            </w:r>
            <w:proofErr w:type="spellEnd"/>
            <w:r>
              <w:t>/man’s ‘earmark’ is criticized as “pork” in the budget or ‘fat” that needs to be cut or trimmed off</w:t>
            </w:r>
          </w:p>
        </w:tc>
        <w:tc>
          <w:tcPr>
            <w:tcW w:w="4050" w:type="dxa"/>
          </w:tcPr>
          <w:p w:rsidR="00F84350" w:rsidRDefault="00F84350">
            <w:r>
              <w:t>Congressman Mark Takano get</w:t>
            </w:r>
            <w:r w:rsidR="00822F7E">
              <w:t>s</w:t>
            </w:r>
            <w:r>
              <w:t xml:space="preserve"> criticized for voting for the transportation bill that bring</w:t>
            </w:r>
            <w:r w:rsidR="00336DCD">
              <w:t>s</w:t>
            </w:r>
            <w:r>
              <w:t xml:space="preserve"> money to the</w:t>
            </w:r>
            <w:r w:rsidR="00336DCD">
              <w:t xml:space="preserve"> 91 F</w:t>
            </w:r>
            <w:r>
              <w:t>reeway instead of money f</w:t>
            </w:r>
            <w:r w:rsidR="00336DCD">
              <w:t xml:space="preserve">or expanding </w:t>
            </w:r>
            <w:proofErr w:type="spellStart"/>
            <w:r w:rsidR="00336DCD">
              <w:t>Met</w:t>
            </w:r>
            <w:r>
              <w:t>rolink</w:t>
            </w:r>
            <w:proofErr w:type="spellEnd"/>
            <w:r>
              <w:t xml:space="preserve"> rail</w:t>
            </w:r>
            <w:r w:rsidR="00336DCD">
              <w:t xml:space="preserve"> which is cheaper and cleaner for the air pollution and helps reduce global warming etc….</w:t>
            </w:r>
          </w:p>
        </w:tc>
      </w:tr>
      <w:tr w:rsidR="002030EB" w:rsidTr="00822F7E">
        <w:tc>
          <w:tcPr>
            <w:tcW w:w="2561" w:type="dxa"/>
          </w:tcPr>
          <w:p w:rsidR="002030EB" w:rsidRPr="00336DCD" w:rsidRDefault="00336DCD">
            <w:pPr>
              <w:rPr>
                <w:b/>
                <w:sz w:val="32"/>
                <w:szCs w:val="32"/>
              </w:rPr>
            </w:pPr>
            <w:r w:rsidRPr="00336DCD">
              <w:rPr>
                <w:b/>
                <w:sz w:val="32"/>
                <w:szCs w:val="32"/>
              </w:rPr>
              <w:t>Mandates</w:t>
            </w:r>
          </w:p>
        </w:tc>
        <w:tc>
          <w:tcPr>
            <w:tcW w:w="3487" w:type="dxa"/>
          </w:tcPr>
          <w:p w:rsidR="002030EB" w:rsidRDefault="00336DCD">
            <w:r>
              <w:t>Usually from the federal government to the states. ‘Mandate” is an order to do something sometimes with money from the Feds, sometimes without</w:t>
            </w:r>
          </w:p>
        </w:tc>
        <w:tc>
          <w:tcPr>
            <w:tcW w:w="4050" w:type="dxa"/>
          </w:tcPr>
          <w:p w:rsidR="002030EB" w:rsidRDefault="00336DCD">
            <w:r>
              <w:t xml:space="preserve">The Americans with Disabilities Act has a federal ‘mandate” to create handicapped bathroom stalls, wheel chair ramps and sidewalk ‘cuts” on every interception in every American city – this ‘mandate’ is unfunded </w:t>
            </w:r>
            <w:r>
              <w:sym w:font="Wingdings" w:char="F04C"/>
            </w:r>
          </w:p>
        </w:tc>
      </w:tr>
      <w:tr w:rsidR="00336DCD" w:rsidTr="00822F7E">
        <w:tc>
          <w:tcPr>
            <w:tcW w:w="2561" w:type="dxa"/>
          </w:tcPr>
          <w:p w:rsidR="00336DCD" w:rsidRPr="001F6B50" w:rsidRDefault="00336DCD">
            <w:pPr>
              <w:rPr>
                <w:b/>
                <w:sz w:val="32"/>
                <w:szCs w:val="32"/>
              </w:rPr>
            </w:pPr>
            <w:r w:rsidRPr="001F6B50">
              <w:rPr>
                <w:b/>
                <w:sz w:val="32"/>
                <w:szCs w:val="32"/>
              </w:rPr>
              <w:t>Cloture</w:t>
            </w:r>
          </w:p>
        </w:tc>
        <w:tc>
          <w:tcPr>
            <w:tcW w:w="3487" w:type="dxa"/>
          </w:tcPr>
          <w:p w:rsidR="00336DCD" w:rsidRPr="00336DCD" w:rsidRDefault="00336DCD">
            <w:r>
              <w:rPr>
                <w:rFonts w:cs="Arial"/>
                <w:color w:val="000000"/>
                <w:shd w:val="clear" w:color="auto" w:fill="FFFFFF"/>
              </w:rPr>
              <w:t xml:space="preserve">The cloture rule </w:t>
            </w:r>
            <w:r w:rsidRPr="00336DCD">
              <w:rPr>
                <w:rFonts w:cs="Arial"/>
                <w:color w:val="000000"/>
                <w:shd w:val="clear" w:color="auto" w:fill="FFFFFF"/>
              </w:rPr>
              <w:t>is the only</w:t>
            </w:r>
            <w:r>
              <w:rPr>
                <w:rFonts w:cs="Arial"/>
                <w:color w:val="000000"/>
                <w:shd w:val="clear" w:color="auto" w:fill="FFFFFF"/>
              </w:rPr>
              <w:t xml:space="preserve"> formal</w:t>
            </w:r>
            <w:r w:rsidRPr="00336DCD">
              <w:rPr>
                <w:rFonts w:cs="Arial"/>
                <w:color w:val="000000"/>
                <w:shd w:val="clear" w:color="auto" w:fill="FFFFFF"/>
              </w:rPr>
              <w:t> procedure that</w:t>
            </w:r>
            <w:r>
              <w:rPr>
                <w:rFonts w:cs="Arial"/>
                <w:color w:val="000000"/>
                <w:shd w:val="clear" w:color="auto" w:fill="FFFFFF"/>
              </w:rPr>
              <w:t xml:space="preserve"> </w:t>
            </w:r>
            <w:r w:rsidRPr="00336DCD">
              <w:rPr>
                <w:rFonts w:cs="Arial"/>
                <w:color w:val="000000"/>
                <w:u w:val="single"/>
                <w:shd w:val="clear" w:color="auto" w:fill="FFFFFF"/>
              </w:rPr>
              <w:t>Senate</w:t>
            </w:r>
            <w:r w:rsidRPr="00336DCD">
              <w:rPr>
                <w:rFonts w:cs="Arial"/>
                <w:color w:val="000000"/>
                <w:shd w:val="clear" w:color="auto" w:fill="FFFFFF"/>
              </w:rPr>
              <w:t> </w:t>
            </w:r>
            <w:r>
              <w:rPr>
                <w:rFonts w:cs="Arial"/>
                <w:color w:val="000000"/>
                <w:shd w:val="clear" w:color="auto" w:fill="FFFFFF"/>
              </w:rPr>
              <w:t xml:space="preserve">rules provide for breaking a </w:t>
            </w:r>
            <w:r w:rsidRPr="001F6B50">
              <w:rPr>
                <w:rFonts w:cs="Arial"/>
                <w:color w:val="000000"/>
                <w:u w:val="single"/>
                <w:shd w:val="clear" w:color="auto" w:fill="FFFFFF"/>
              </w:rPr>
              <w:t xml:space="preserve">filibuster.    </w:t>
            </w:r>
            <w:r w:rsidRPr="00336DCD">
              <w:rPr>
                <w:rFonts w:cs="Arial"/>
                <w:color w:val="000000"/>
                <w:shd w:val="clear" w:color="auto" w:fill="FFFFFF"/>
              </w:rPr>
              <w:t>A filibuster is an attempt to </w:t>
            </w:r>
            <w:r>
              <w:rPr>
                <w:rFonts w:cs="Arial"/>
                <w:color w:val="000000"/>
                <w:shd w:val="clear" w:color="auto" w:fill="FFFFFF"/>
              </w:rPr>
              <w:t xml:space="preserve">block </w:t>
            </w:r>
            <w:r w:rsidRPr="00336DCD">
              <w:rPr>
                <w:rFonts w:cs="Arial"/>
                <w:color w:val="000000"/>
                <w:shd w:val="clear" w:color="auto" w:fill="FFFFFF"/>
              </w:rPr>
              <w:t>or delay Senate a</w:t>
            </w:r>
            <w:r w:rsidR="001F6B50">
              <w:rPr>
                <w:rFonts w:cs="Arial"/>
                <w:color w:val="000000"/>
                <w:shd w:val="clear" w:color="auto" w:fill="FFFFFF"/>
              </w:rPr>
              <w:t xml:space="preserve">ction on a bill or other matter by talking it to death by holding the right to speak forever as long as the Senator continually speaks. </w:t>
            </w:r>
            <w:r w:rsidRPr="00336DCD">
              <w:rPr>
                <w:rFonts w:cs="Arial"/>
                <w:color w:val="000000"/>
                <w:shd w:val="clear" w:color="auto" w:fill="FFFFFF"/>
              </w:rPr>
              <w:t>Under cloture, the Senate may</w:t>
            </w:r>
            <w:r w:rsidR="001F6B50">
              <w:rPr>
                <w:rFonts w:cs="Arial"/>
                <w:color w:val="000000"/>
                <w:shd w:val="clear" w:color="auto" w:fill="FFFFFF"/>
              </w:rPr>
              <w:t xml:space="preserve"> limit </w:t>
            </w:r>
            <w:r w:rsidRPr="00336DCD">
              <w:rPr>
                <w:rFonts w:cs="Arial"/>
                <w:color w:val="000000"/>
                <w:shd w:val="clear" w:color="auto" w:fill="FFFFFF"/>
              </w:rPr>
              <w:t>conside</w:t>
            </w:r>
            <w:r w:rsidR="001F6B50">
              <w:rPr>
                <w:rFonts w:cs="Arial"/>
                <w:color w:val="000000"/>
                <w:shd w:val="clear" w:color="auto" w:fill="FFFFFF"/>
              </w:rPr>
              <w:t xml:space="preserve">ration of a pending matter but it takes 60 votes of the 100 Senators to invoke </w:t>
            </w:r>
            <w:r w:rsidR="001F6B50" w:rsidRPr="001F6B50">
              <w:rPr>
                <w:rFonts w:cs="Arial"/>
                <w:color w:val="000000"/>
                <w:u w:val="single"/>
                <w:shd w:val="clear" w:color="auto" w:fill="FFFFFF"/>
              </w:rPr>
              <w:t>cloture</w:t>
            </w:r>
          </w:p>
        </w:tc>
        <w:tc>
          <w:tcPr>
            <w:tcW w:w="4050" w:type="dxa"/>
          </w:tcPr>
          <w:p w:rsidR="00336DCD" w:rsidRDefault="001F6B50">
            <w:r>
              <w:t>Senate republicans tried to filibuster passage of the Civil Rights Act of 1964 with a filibuster. Senate Democrats, with the help of President Johnson gathered 62 votes to invoke “cloture” and the bill proceeded to a full vote in the Senate and eventually passed.</w:t>
            </w:r>
          </w:p>
        </w:tc>
      </w:tr>
      <w:tr w:rsidR="008A56D7" w:rsidTr="00822F7E">
        <w:tc>
          <w:tcPr>
            <w:tcW w:w="2561" w:type="dxa"/>
          </w:tcPr>
          <w:p w:rsidR="008A56D7" w:rsidRPr="001F6B50" w:rsidRDefault="008A56D7">
            <w:pPr>
              <w:rPr>
                <w:b/>
                <w:sz w:val="32"/>
                <w:szCs w:val="32"/>
              </w:rPr>
            </w:pPr>
          </w:p>
        </w:tc>
        <w:tc>
          <w:tcPr>
            <w:tcW w:w="3487" w:type="dxa"/>
          </w:tcPr>
          <w:p w:rsidR="008A56D7" w:rsidRDefault="008A56D7">
            <w:pPr>
              <w:rPr>
                <w:rFonts w:cs="Arial"/>
                <w:color w:val="000000"/>
                <w:shd w:val="clear" w:color="auto" w:fill="FFFFFF"/>
              </w:rPr>
            </w:pPr>
          </w:p>
        </w:tc>
        <w:tc>
          <w:tcPr>
            <w:tcW w:w="4050" w:type="dxa"/>
          </w:tcPr>
          <w:p w:rsidR="008A56D7" w:rsidRDefault="008A56D7"/>
          <w:p w:rsidR="00493CDF" w:rsidRDefault="00493CDF"/>
          <w:p w:rsidR="00493CDF" w:rsidRDefault="00493CDF"/>
          <w:p w:rsidR="00493CDF" w:rsidRDefault="00493CDF"/>
          <w:p w:rsidR="00493CDF" w:rsidRDefault="00493CDF"/>
        </w:tc>
      </w:tr>
      <w:tr w:rsidR="001F6B50" w:rsidTr="00822F7E">
        <w:tc>
          <w:tcPr>
            <w:tcW w:w="2561" w:type="dxa"/>
          </w:tcPr>
          <w:p w:rsidR="001F6B50" w:rsidRPr="001F6B50" w:rsidRDefault="001F6B50">
            <w:pPr>
              <w:rPr>
                <w:b/>
                <w:sz w:val="32"/>
                <w:szCs w:val="32"/>
              </w:rPr>
            </w:pPr>
            <w:r>
              <w:rPr>
                <w:b/>
                <w:sz w:val="32"/>
                <w:szCs w:val="32"/>
              </w:rPr>
              <w:lastRenderedPageBreak/>
              <w:t>Gubernatorial</w:t>
            </w:r>
          </w:p>
        </w:tc>
        <w:tc>
          <w:tcPr>
            <w:tcW w:w="3487" w:type="dxa"/>
          </w:tcPr>
          <w:p w:rsidR="001F6B50" w:rsidRDefault="001F6B50">
            <w:pPr>
              <w:rPr>
                <w:rFonts w:cs="Arial"/>
                <w:color w:val="000000"/>
                <w:shd w:val="clear" w:color="auto" w:fill="FFFFFF"/>
              </w:rPr>
            </w:pPr>
            <w:r>
              <w:rPr>
                <w:rFonts w:cs="Arial"/>
                <w:color w:val="000000"/>
                <w:shd w:val="clear" w:color="auto" w:fill="FFFFFF"/>
              </w:rPr>
              <w:t>From the same root word meaning as ‘Presidential”. Having everything to do with the Governor of any of the 50 states.</w:t>
            </w:r>
          </w:p>
        </w:tc>
        <w:tc>
          <w:tcPr>
            <w:tcW w:w="4050" w:type="dxa"/>
          </w:tcPr>
          <w:p w:rsidR="001F6B50" w:rsidRDefault="001F6B50">
            <w:r>
              <w:t>The California “Gubernatorial” campaign will heat up this summer as the vote will be in November of 2014 as Governor Brown is running for a record 4</w:t>
            </w:r>
            <w:r w:rsidRPr="001F6B50">
              <w:rPr>
                <w:vertAlign w:val="superscript"/>
              </w:rPr>
              <w:t>th</w:t>
            </w:r>
            <w:r>
              <w:t xml:space="preserve"> term.</w:t>
            </w:r>
          </w:p>
        </w:tc>
      </w:tr>
      <w:tr w:rsidR="008A56D7" w:rsidTr="00822F7E">
        <w:tc>
          <w:tcPr>
            <w:tcW w:w="2561" w:type="dxa"/>
          </w:tcPr>
          <w:p w:rsidR="008A56D7" w:rsidRDefault="00110E24">
            <w:pPr>
              <w:rPr>
                <w:b/>
                <w:sz w:val="32"/>
                <w:szCs w:val="32"/>
              </w:rPr>
            </w:pPr>
            <w:r>
              <w:rPr>
                <w:b/>
                <w:sz w:val="32"/>
                <w:szCs w:val="32"/>
              </w:rPr>
              <w:t xml:space="preserve">Monetary </w:t>
            </w:r>
          </w:p>
          <w:p w:rsidR="00110E24" w:rsidRDefault="00110E24">
            <w:pPr>
              <w:rPr>
                <w:b/>
                <w:sz w:val="32"/>
                <w:szCs w:val="32"/>
              </w:rPr>
            </w:pPr>
            <w:r>
              <w:rPr>
                <w:b/>
                <w:sz w:val="32"/>
                <w:szCs w:val="32"/>
              </w:rPr>
              <w:t>Policy</w:t>
            </w:r>
          </w:p>
          <w:p w:rsidR="008A56D7" w:rsidRDefault="008A56D7">
            <w:pPr>
              <w:rPr>
                <w:b/>
                <w:sz w:val="32"/>
                <w:szCs w:val="32"/>
              </w:rPr>
            </w:pPr>
          </w:p>
          <w:p w:rsidR="008A56D7" w:rsidRDefault="008A56D7">
            <w:pPr>
              <w:rPr>
                <w:b/>
                <w:sz w:val="32"/>
                <w:szCs w:val="32"/>
              </w:rPr>
            </w:pPr>
          </w:p>
        </w:tc>
        <w:tc>
          <w:tcPr>
            <w:tcW w:w="3487" w:type="dxa"/>
          </w:tcPr>
          <w:p w:rsidR="008A56D7" w:rsidRDefault="00110E24">
            <w:pPr>
              <w:rPr>
                <w:rFonts w:cs="Arial"/>
                <w:color w:val="000000"/>
                <w:shd w:val="clear" w:color="auto" w:fill="FFFFFF"/>
              </w:rPr>
            </w:pPr>
            <w:r>
              <w:rPr>
                <w:rFonts w:cs="Arial"/>
                <w:color w:val="000000"/>
                <w:shd w:val="clear" w:color="auto" w:fill="FFFFFF"/>
              </w:rPr>
              <w:t>The manipulation of the supply of money which the government can control to help the economy stay steady</w:t>
            </w:r>
          </w:p>
        </w:tc>
        <w:tc>
          <w:tcPr>
            <w:tcW w:w="4050" w:type="dxa"/>
          </w:tcPr>
          <w:p w:rsidR="008A56D7" w:rsidRDefault="00110E24">
            <w:r>
              <w:t>The Federal Reserve bank can control the money supply by printing more or less money which in turn influences the inflation rate. The Fed Bank also controls the interest rates charged for bank loans</w:t>
            </w:r>
          </w:p>
        </w:tc>
      </w:tr>
      <w:tr w:rsidR="001F6B50" w:rsidTr="00822F7E">
        <w:tc>
          <w:tcPr>
            <w:tcW w:w="2561" w:type="dxa"/>
          </w:tcPr>
          <w:p w:rsidR="001F6B50" w:rsidRDefault="00110E24">
            <w:pPr>
              <w:rPr>
                <w:b/>
                <w:sz w:val="32"/>
                <w:szCs w:val="32"/>
              </w:rPr>
            </w:pPr>
            <w:r>
              <w:rPr>
                <w:b/>
                <w:sz w:val="32"/>
                <w:szCs w:val="32"/>
              </w:rPr>
              <w:t>Fiscal</w:t>
            </w:r>
          </w:p>
          <w:p w:rsidR="00110E24" w:rsidRDefault="00110E24">
            <w:pPr>
              <w:rPr>
                <w:b/>
                <w:sz w:val="32"/>
                <w:szCs w:val="32"/>
              </w:rPr>
            </w:pPr>
            <w:r>
              <w:rPr>
                <w:b/>
                <w:sz w:val="32"/>
                <w:szCs w:val="32"/>
              </w:rPr>
              <w:t>Policy</w:t>
            </w:r>
          </w:p>
          <w:p w:rsidR="008A56D7" w:rsidRDefault="008A56D7">
            <w:pPr>
              <w:rPr>
                <w:b/>
                <w:sz w:val="32"/>
                <w:szCs w:val="32"/>
              </w:rPr>
            </w:pPr>
          </w:p>
          <w:p w:rsidR="008A56D7" w:rsidRDefault="008A56D7">
            <w:pPr>
              <w:rPr>
                <w:b/>
                <w:sz w:val="32"/>
                <w:szCs w:val="32"/>
              </w:rPr>
            </w:pPr>
          </w:p>
        </w:tc>
        <w:tc>
          <w:tcPr>
            <w:tcW w:w="3487" w:type="dxa"/>
          </w:tcPr>
          <w:p w:rsidR="001F6B50" w:rsidRDefault="00110E24">
            <w:pPr>
              <w:rPr>
                <w:rFonts w:cs="Arial"/>
                <w:color w:val="000000"/>
                <w:shd w:val="clear" w:color="auto" w:fill="FFFFFF"/>
              </w:rPr>
            </w:pPr>
            <w:r>
              <w:rPr>
                <w:rFonts w:cs="Arial"/>
                <w:color w:val="000000"/>
                <w:shd w:val="clear" w:color="auto" w:fill="FFFFFF"/>
              </w:rPr>
              <w:t xml:space="preserve">The policy that describes the impact of the federal government’s budget- taxes, spending and borrowing of money and its impact on the economy </w:t>
            </w:r>
          </w:p>
        </w:tc>
        <w:tc>
          <w:tcPr>
            <w:tcW w:w="4050" w:type="dxa"/>
          </w:tcPr>
          <w:p w:rsidR="001F6B50" w:rsidRDefault="00110E24">
            <w:r>
              <w:t>President Obama’s policy of raising taxes on the wealthy Americans has lowered the debt but also slowed economic growth</w:t>
            </w:r>
          </w:p>
        </w:tc>
      </w:tr>
      <w:tr w:rsidR="001F6B50" w:rsidTr="00822F7E">
        <w:tc>
          <w:tcPr>
            <w:tcW w:w="2561" w:type="dxa"/>
          </w:tcPr>
          <w:p w:rsidR="00A84A57" w:rsidRDefault="00A84A57">
            <w:pPr>
              <w:rPr>
                <w:b/>
                <w:sz w:val="32"/>
                <w:szCs w:val="32"/>
              </w:rPr>
            </w:pPr>
            <w:r>
              <w:rPr>
                <w:b/>
                <w:sz w:val="32"/>
                <w:szCs w:val="32"/>
              </w:rPr>
              <w:t xml:space="preserve">Delegate Model of </w:t>
            </w:r>
          </w:p>
          <w:p w:rsidR="001F6B50" w:rsidRDefault="00A84A57">
            <w:pPr>
              <w:rPr>
                <w:b/>
                <w:sz w:val="32"/>
                <w:szCs w:val="32"/>
              </w:rPr>
            </w:pPr>
            <w:r>
              <w:rPr>
                <w:b/>
                <w:sz w:val="32"/>
                <w:szCs w:val="32"/>
              </w:rPr>
              <w:t>Congressional Representation</w:t>
            </w:r>
          </w:p>
          <w:p w:rsidR="008A56D7" w:rsidRDefault="008A56D7">
            <w:pPr>
              <w:rPr>
                <w:b/>
                <w:sz w:val="32"/>
                <w:szCs w:val="32"/>
              </w:rPr>
            </w:pPr>
          </w:p>
          <w:p w:rsidR="008A56D7" w:rsidRDefault="008A56D7">
            <w:pPr>
              <w:rPr>
                <w:b/>
                <w:sz w:val="32"/>
                <w:szCs w:val="32"/>
              </w:rPr>
            </w:pPr>
          </w:p>
        </w:tc>
        <w:tc>
          <w:tcPr>
            <w:tcW w:w="3487" w:type="dxa"/>
          </w:tcPr>
          <w:p w:rsidR="001F6B50" w:rsidRPr="00A84A57" w:rsidRDefault="00A84A57">
            <w:pPr>
              <w:rPr>
                <w:rFonts w:cs="Arial"/>
                <w:color w:val="000000"/>
                <w:sz w:val="20"/>
                <w:szCs w:val="20"/>
                <w:shd w:val="clear" w:color="auto" w:fill="FFFFFF"/>
              </w:rPr>
            </w:pPr>
            <w:r w:rsidRPr="00A84A57">
              <w:rPr>
                <w:rFonts w:cs="Arial"/>
                <w:color w:val="252525"/>
                <w:sz w:val="20"/>
                <w:szCs w:val="20"/>
                <w:shd w:val="clear" w:color="auto" w:fill="FFFFFF"/>
              </w:rPr>
              <w:t>The </w:t>
            </w:r>
            <w:r w:rsidRPr="00A84A57">
              <w:rPr>
                <w:rFonts w:cs="Arial"/>
                <w:b/>
                <w:bCs/>
                <w:color w:val="252525"/>
                <w:sz w:val="20"/>
                <w:szCs w:val="20"/>
                <w:shd w:val="clear" w:color="auto" w:fill="FFFFFF"/>
              </w:rPr>
              <w:t>delegate model of representation</w:t>
            </w:r>
            <w:r w:rsidRPr="00A84A57">
              <w:rPr>
                <w:rFonts w:cs="Arial"/>
                <w:color w:val="252525"/>
                <w:sz w:val="20"/>
                <w:szCs w:val="20"/>
                <w:shd w:val="clear" w:color="auto" w:fill="FFFFFF"/>
              </w:rPr>
              <w:t> is a model of a </w:t>
            </w:r>
            <w:hyperlink r:id="rId6" w:tooltip="Representative democracy" w:history="1">
              <w:r w:rsidRPr="00A84A57">
                <w:rPr>
                  <w:rFonts w:cs="Arial"/>
                  <w:sz w:val="20"/>
                  <w:szCs w:val="20"/>
                  <w:shd w:val="clear" w:color="auto" w:fill="FFFFFF"/>
                </w:rPr>
                <w:t>representative democracy</w:t>
              </w:r>
            </w:hyperlink>
            <w:r w:rsidRPr="00A84A57">
              <w:rPr>
                <w:rFonts w:cs="Arial"/>
                <w:sz w:val="20"/>
                <w:szCs w:val="20"/>
                <w:shd w:val="clear" w:color="auto" w:fill="FFFFFF"/>
              </w:rPr>
              <w:t>. In this model, </w:t>
            </w:r>
            <w:hyperlink r:id="rId7" w:tooltip="Electoral district" w:history="1">
              <w:r w:rsidRPr="00A84A57">
                <w:rPr>
                  <w:rFonts w:cs="Arial"/>
                  <w:sz w:val="20"/>
                  <w:szCs w:val="20"/>
                  <w:shd w:val="clear" w:color="auto" w:fill="FFFFFF"/>
                </w:rPr>
                <w:t>constituents</w:t>
              </w:r>
            </w:hyperlink>
            <w:r w:rsidRPr="00A84A57">
              <w:rPr>
                <w:rFonts w:cs="Arial"/>
                <w:sz w:val="20"/>
                <w:szCs w:val="20"/>
                <w:shd w:val="clear" w:color="auto" w:fill="FFFFFF"/>
              </w:rPr>
              <w:t> elect their representatives as </w:t>
            </w:r>
            <w:hyperlink r:id="rId8" w:tooltip="Delegates" w:history="1">
              <w:r w:rsidRPr="00A84A57">
                <w:rPr>
                  <w:rFonts w:cs="Arial"/>
                  <w:sz w:val="20"/>
                  <w:szCs w:val="20"/>
                  <w:shd w:val="clear" w:color="auto" w:fill="FFFFFF"/>
                </w:rPr>
                <w:t>delegates</w:t>
              </w:r>
            </w:hyperlink>
            <w:r w:rsidRPr="00A84A57">
              <w:rPr>
                <w:rFonts w:cs="Arial"/>
                <w:color w:val="252525"/>
                <w:sz w:val="20"/>
                <w:szCs w:val="20"/>
                <w:shd w:val="clear" w:color="auto" w:fill="FFFFFF"/>
              </w:rPr>
              <w:t xml:space="preserve"> for their </w:t>
            </w:r>
            <w:hyperlink r:id="rId9" w:tooltip="Constituency" w:history="1">
              <w:r w:rsidRPr="00A84A57">
                <w:rPr>
                  <w:rFonts w:cs="Arial"/>
                  <w:sz w:val="20"/>
                  <w:szCs w:val="20"/>
                  <w:shd w:val="clear" w:color="auto" w:fill="FFFFFF"/>
                </w:rPr>
                <w:t>constituency</w:t>
              </w:r>
            </w:hyperlink>
            <w:r w:rsidRPr="00A84A57">
              <w:rPr>
                <w:rFonts w:cs="Arial"/>
                <w:color w:val="252525"/>
                <w:sz w:val="20"/>
                <w:szCs w:val="20"/>
                <w:shd w:val="clear" w:color="auto" w:fill="FFFFFF"/>
              </w:rPr>
              <w:t>. These delegates act only as a mouthpiece for the wishes of their constituency, and have no </w:t>
            </w:r>
            <w:hyperlink r:id="rId10" w:tooltip="wiktionary:autonomy" w:history="1">
              <w:r w:rsidRPr="00A84A57">
                <w:rPr>
                  <w:rFonts w:cs="Arial"/>
                  <w:color w:val="663366"/>
                  <w:sz w:val="20"/>
                  <w:szCs w:val="20"/>
                  <w:shd w:val="clear" w:color="auto" w:fill="FFFFFF"/>
                </w:rPr>
                <w:t>autonomy</w:t>
              </w:r>
            </w:hyperlink>
            <w:r w:rsidRPr="00A84A57">
              <w:rPr>
                <w:rFonts w:cs="Arial"/>
                <w:color w:val="252525"/>
                <w:sz w:val="20"/>
                <w:szCs w:val="20"/>
                <w:shd w:val="clear" w:color="auto" w:fill="FFFFFF"/>
              </w:rPr>
              <w:t> from the constituency. This model does not provide representatives the luxury of acting in their own conscience</w:t>
            </w:r>
          </w:p>
        </w:tc>
        <w:tc>
          <w:tcPr>
            <w:tcW w:w="4050" w:type="dxa"/>
          </w:tcPr>
          <w:p w:rsidR="001F6B50" w:rsidRDefault="00A84A57">
            <w:r>
              <w:t xml:space="preserve">Most </w:t>
            </w:r>
            <w:proofErr w:type="spellStart"/>
            <w:r>
              <w:t>Congresswo</w:t>
            </w:r>
            <w:proofErr w:type="spellEnd"/>
            <w:r>
              <w:t xml:space="preserve">/men are very in touch with the voters. They ask voters to tell them thru email and phone calls how they would like them to vote on a certain bill. They feel they are only your delegate and will vote according to your command. It’s not always so simple because you may disagree with the majority of voters in your district but hope that on the next bill your side will have the </w:t>
            </w:r>
            <w:proofErr w:type="spellStart"/>
            <w:r>
              <w:t>Congresswo</w:t>
            </w:r>
            <w:proofErr w:type="spellEnd"/>
            <w:r>
              <w:t>/men’s vote.</w:t>
            </w:r>
          </w:p>
        </w:tc>
      </w:tr>
      <w:tr w:rsidR="008A56D7" w:rsidTr="00822F7E">
        <w:tc>
          <w:tcPr>
            <w:tcW w:w="2561" w:type="dxa"/>
          </w:tcPr>
          <w:p w:rsidR="008A56D7" w:rsidRDefault="00A84A57">
            <w:pPr>
              <w:rPr>
                <w:b/>
                <w:sz w:val="32"/>
                <w:szCs w:val="32"/>
              </w:rPr>
            </w:pPr>
            <w:r>
              <w:rPr>
                <w:b/>
                <w:sz w:val="32"/>
                <w:szCs w:val="32"/>
              </w:rPr>
              <w:t>Trustee Model</w:t>
            </w:r>
          </w:p>
          <w:p w:rsidR="00A84A57" w:rsidRDefault="00A84A57">
            <w:pPr>
              <w:rPr>
                <w:b/>
                <w:sz w:val="32"/>
                <w:szCs w:val="32"/>
              </w:rPr>
            </w:pPr>
            <w:r>
              <w:rPr>
                <w:b/>
                <w:sz w:val="32"/>
                <w:szCs w:val="32"/>
              </w:rPr>
              <w:t>of</w:t>
            </w:r>
          </w:p>
          <w:p w:rsidR="00A84A57" w:rsidRDefault="00A84A57">
            <w:pPr>
              <w:rPr>
                <w:b/>
                <w:sz w:val="32"/>
                <w:szCs w:val="32"/>
              </w:rPr>
            </w:pPr>
            <w:r>
              <w:rPr>
                <w:b/>
                <w:sz w:val="32"/>
                <w:szCs w:val="32"/>
              </w:rPr>
              <w:t>Congressional</w:t>
            </w:r>
          </w:p>
          <w:p w:rsidR="00A84A57" w:rsidRDefault="00A84A57">
            <w:pPr>
              <w:rPr>
                <w:b/>
                <w:sz w:val="32"/>
                <w:szCs w:val="32"/>
              </w:rPr>
            </w:pPr>
            <w:r>
              <w:rPr>
                <w:b/>
                <w:sz w:val="32"/>
                <w:szCs w:val="32"/>
              </w:rPr>
              <w:t>Representation</w:t>
            </w:r>
          </w:p>
          <w:p w:rsidR="008A56D7" w:rsidRDefault="008A56D7">
            <w:pPr>
              <w:rPr>
                <w:b/>
                <w:sz w:val="32"/>
                <w:szCs w:val="32"/>
              </w:rPr>
            </w:pPr>
          </w:p>
          <w:p w:rsidR="008A56D7" w:rsidRDefault="008A56D7">
            <w:pPr>
              <w:rPr>
                <w:b/>
                <w:sz w:val="32"/>
                <w:szCs w:val="32"/>
              </w:rPr>
            </w:pPr>
          </w:p>
        </w:tc>
        <w:tc>
          <w:tcPr>
            <w:tcW w:w="3487" w:type="dxa"/>
          </w:tcPr>
          <w:p w:rsidR="008A56D7" w:rsidRPr="00A84A57" w:rsidRDefault="006A721E">
            <w:pPr>
              <w:rPr>
                <w:rFonts w:cs="Arial"/>
                <w:color w:val="000000"/>
                <w:sz w:val="20"/>
                <w:szCs w:val="20"/>
                <w:shd w:val="clear" w:color="auto" w:fill="FFFFFF"/>
              </w:rPr>
            </w:pPr>
            <w:hyperlink r:id="rId11" w:tooltip="Electoral district" w:history="1">
              <w:r w:rsidR="00A84A57" w:rsidRPr="00A84A57">
                <w:rPr>
                  <w:rFonts w:cs="Arial"/>
                  <w:sz w:val="20"/>
                  <w:szCs w:val="20"/>
                  <w:shd w:val="clear" w:color="auto" w:fill="FFFFFF"/>
                </w:rPr>
                <w:t>Constituents</w:t>
              </w:r>
            </w:hyperlink>
            <w:r w:rsidR="00A84A57" w:rsidRPr="00A84A57">
              <w:rPr>
                <w:rFonts w:cs="Arial"/>
                <w:sz w:val="20"/>
                <w:szCs w:val="20"/>
                <w:shd w:val="clear" w:color="auto" w:fill="FFFFFF"/>
              </w:rPr>
              <w:t xml:space="preserve"> elect their representatives as </w:t>
            </w:r>
            <w:r w:rsidR="00A84A57" w:rsidRPr="00A84A57">
              <w:rPr>
                <w:rFonts w:cs="Arial"/>
                <w:b/>
                <w:sz w:val="20"/>
                <w:szCs w:val="20"/>
                <w:shd w:val="clear" w:color="auto" w:fill="FFFFFF"/>
              </w:rPr>
              <w:t>'</w:t>
            </w:r>
            <w:hyperlink r:id="rId12" w:tooltip="Trustees" w:history="1">
              <w:r w:rsidR="00A84A57" w:rsidRPr="00A84A57">
                <w:rPr>
                  <w:rFonts w:cs="Arial"/>
                  <w:b/>
                  <w:sz w:val="20"/>
                  <w:szCs w:val="20"/>
                  <w:shd w:val="clear" w:color="auto" w:fill="FFFFFF"/>
                </w:rPr>
                <w:t>trustees</w:t>
              </w:r>
            </w:hyperlink>
            <w:r w:rsidR="00A84A57" w:rsidRPr="00A84A57">
              <w:rPr>
                <w:rFonts w:cs="Arial"/>
                <w:b/>
                <w:sz w:val="20"/>
                <w:szCs w:val="20"/>
                <w:shd w:val="clear" w:color="auto" w:fill="FFFFFF"/>
              </w:rPr>
              <w:t>'</w:t>
            </w:r>
            <w:r w:rsidR="00A84A57" w:rsidRPr="00A84A57">
              <w:rPr>
                <w:rFonts w:cs="Arial"/>
                <w:sz w:val="20"/>
                <w:szCs w:val="20"/>
                <w:shd w:val="clear" w:color="auto" w:fill="FFFFFF"/>
              </w:rPr>
              <w:t xml:space="preserve"> (or 'entrust' them) for their </w:t>
            </w:r>
            <w:hyperlink r:id="rId13" w:tooltip="Constituency" w:history="1">
              <w:r w:rsidR="00A84A57" w:rsidRPr="00A84A57">
                <w:rPr>
                  <w:rFonts w:cs="Arial"/>
                  <w:sz w:val="20"/>
                  <w:szCs w:val="20"/>
                  <w:shd w:val="clear" w:color="auto" w:fill="FFFFFF"/>
                </w:rPr>
                <w:t>constituency</w:t>
              </w:r>
            </w:hyperlink>
            <w:r w:rsidR="00A84A57" w:rsidRPr="00A84A57">
              <w:rPr>
                <w:rFonts w:cs="Arial"/>
                <w:sz w:val="20"/>
                <w:szCs w:val="20"/>
                <w:shd w:val="clear" w:color="auto" w:fill="FFFFFF"/>
              </w:rPr>
              <w:t>. These 'trustees' have sufficient </w:t>
            </w:r>
            <w:hyperlink r:id="rId14" w:tooltip="wiktionary:autonomy" w:history="1">
              <w:r w:rsidR="00A84A57" w:rsidRPr="00A84A57">
                <w:rPr>
                  <w:rFonts w:cs="Arial"/>
                  <w:sz w:val="20"/>
                  <w:szCs w:val="20"/>
                  <w:shd w:val="clear" w:color="auto" w:fill="FFFFFF"/>
                </w:rPr>
                <w:t>autonomy</w:t>
              </w:r>
            </w:hyperlink>
            <w:r w:rsidR="00A84A57" w:rsidRPr="00A84A57">
              <w:rPr>
                <w:rFonts w:cs="Arial"/>
                <w:sz w:val="20"/>
                <w:szCs w:val="20"/>
                <w:shd w:val="clear" w:color="auto" w:fill="FFFFFF"/>
              </w:rPr>
              <w:t> to deliberate and act in favor of the greater common good and </w:t>
            </w:r>
            <w:hyperlink r:id="rId15" w:tooltip="National interest" w:history="1">
              <w:r w:rsidR="00A84A57" w:rsidRPr="00A84A57">
                <w:rPr>
                  <w:rFonts w:cs="Arial"/>
                  <w:sz w:val="20"/>
                  <w:szCs w:val="20"/>
                  <w:shd w:val="clear" w:color="auto" w:fill="FFFFFF"/>
                </w:rPr>
                <w:t>national interest</w:t>
              </w:r>
            </w:hyperlink>
            <w:r w:rsidR="00A84A57" w:rsidRPr="00A84A57">
              <w:rPr>
                <w:rFonts w:cs="Arial"/>
                <w:sz w:val="20"/>
                <w:szCs w:val="20"/>
                <w:shd w:val="clear" w:color="auto" w:fill="FFFFFF"/>
              </w:rPr>
              <w:t>, even if it means going against the short-term interests of their own constituencies</w:t>
            </w:r>
          </w:p>
        </w:tc>
        <w:tc>
          <w:tcPr>
            <w:tcW w:w="4050" w:type="dxa"/>
          </w:tcPr>
          <w:p w:rsidR="008A56D7" w:rsidRDefault="00A84A57">
            <w:r>
              <w:t xml:space="preserve">This model allows the </w:t>
            </w:r>
            <w:proofErr w:type="spellStart"/>
            <w:r>
              <w:t>Congresswo</w:t>
            </w:r>
            <w:proofErr w:type="spellEnd"/>
            <w:r>
              <w:t>/men to vote against the voters needs and want if there is a pressing national issue or if the party demands them to vote one way or the other.</w:t>
            </w:r>
          </w:p>
        </w:tc>
      </w:tr>
      <w:tr w:rsidR="008A56D7" w:rsidTr="00822F7E">
        <w:tc>
          <w:tcPr>
            <w:tcW w:w="2561" w:type="dxa"/>
          </w:tcPr>
          <w:p w:rsidR="008A56D7" w:rsidRDefault="008A56D7">
            <w:pPr>
              <w:rPr>
                <w:b/>
                <w:sz w:val="32"/>
                <w:szCs w:val="32"/>
              </w:rPr>
            </w:pPr>
          </w:p>
          <w:p w:rsidR="008A56D7" w:rsidRDefault="008A56D7">
            <w:pPr>
              <w:rPr>
                <w:b/>
                <w:sz w:val="32"/>
                <w:szCs w:val="32"/>
              </w:rPr>
            </w:pPr>
          </w:p>
          <w:p w:rsidR="008A56D7" w:rsidRDefault="008A56D7">
            <w:pPr>
              <w:rPr>
                <w:b/>
                <w:sz w:val="32"/>
                <w:szCs w:val="32"/>
              </w:rPr>
            </w:pPr>
          </w:p>
        </w:tc>
        <w:tc>
          <w:tcPr>
            <w:tcW w:w="3487" w:type="dxa"/>
          </w:tcPr>
          <w:p w:rsidR="008A56D7" w:rsidRDefault="008A56D7">
            <w:pPr>
              <w:rPr>
                <w:rFonts w:cs="Arial"/>
                <w:color w:val="000000"/>
                <w:shd w:val="clear" w:color="auto" w:fill="FFFFFF"/>
              </w:rPr>
            </w:pPr>
          </w:p>
        </w:tc>
        <w:tc>
          <w:tcPr>
            <w:tcW w:w="4050" w:type="dxa"/>
          </w:tcPr>
          <w:p w:rsidR="008A56D7" w:rsidRDefault="008A56D7"/>
        </w:tc>
      </w:tr>
      <w:tr w:rsidR="008A56D7" w:rsidTr="00822F7E">
        <w:tc>
          <w:tcPr>
            <w:tcW w:w="2561" w:type="dxa"/>
          </w:tcPr>
          <w:p w:rsidR="008A56D7" w:rsidRDefault="008A56D7">
            <w:pPr>
              <w:rPr>
                <w:b/>
                <w:sz w:val="32"/>
                <w:szCs w:val="32"/>
              </w:rPr>
            </w:pPr>
          </w:p>
          <w:p w:rsidR="008A56D7" w:rsidRDefault="008A56D7">
            <w:pPr>
              <w:rPr>
                <w:b/>
                <w:sz w:val="32"/>
                <w:szCs w:val="32"/>
              </w:rPr>
            </w:pPr>
          </w:p>
          <w:p w:rsidR="008A56D7" w:rsidRDefault="008A56D7">
            <w:pPr>
              <w:rPr>
                <w:b/>
                <w:sz w:val="32"/>
                <w:szCs w:val="32"/>
              </w:rPr>
            </w:pPr>
          </w:p>
        </w:tc>
        <w:tc>
          <w:tcPr>
            <w:tcW w:w="3487" w:type="dxa"/>
          </w:tcPr>
          <w:p w:rsidR="008A56D7" w:rsidRDefault="008A56D7">
            <w:pPr>
              <w:rPr>
                <w:rFonts w:cs="Arial"/>
                <w:color w:val="000000"/>
                <w:shd w:val="clear" w:color="auto" w:fill="FFFFFF"/>
              </w:rPr>
            </w:pPr>
          </w:p>
        </w:tc>
        <w:tc>
          <w:tcPr>
            <w:tcW w:w="4050" w:type="dxa"/>
          </w:tcPr>
          <w:p w:rsidR="008A56D7" w:rsidRDefault="008A56D7"/>
        </w:tc>
      </w:tr>
      <w:tr w:rsidR="008A56D7" w:rsidTr="00822F7E">
        <w:tc>
          <w:tcPr>
            <w:tcW w:w="2561" w:type="dxa"/>
          </w:tcPr>
          <w:p w:rsidR="008A56D7" w:rsidRDefault="008A56D7">
            <w:pPr>
              <w:rPr>
                <w:b/>
                <w:sz w:val="32"/>
                <w:szCs w:val="32"/>
              </w:rPr>
            </w:pPr>
          </w:p>
          <w:p w:rsidR="008A56D7" w:rsidRDefault="008A56D7">
            <w:pPr>
              <w:rPr>
                <w:b/>
                <w:sz w:val="32"/>
                <w:szCs w:val="32"/>
              </w:rPr>
            </w:pPr>
          </w:p>
          <w:p w:rsidR="008A56D7" w:rsidRDefault="008A56D7">
            <w:pPr>
              <w:rPr>
                <w:b/>
                <w:sz w:val="32"/>
                <w:szCs w:val="32"/>
              </w:rPr>
            </w:pPr>
          </w:p>
        </w:tc>
        <w:tc>
          <w:tcPr>
            <w:tcW w:w="3487" w:type="dxa"/>
          </w:tcPr>
          <w:p w:rsidR="008A56D7" w:rsidRDefault="008A56D7">
            <w:pPr>
              <w:rPr>
                <w:rFonts w:cs="Arial"/>
                <w:color w:val="000000"/>
                <w:shd w:val="clear" w:color="auto" w:fill="FFFFFF"/>
              </w:rPr>
            </w:pPr>
          </w:p>
        </w:tc>
        <w:tc>
          <w:tcPr>
            <w:tcW w:w="4050" w:type="dxa"/>
          </w:tcPr>
          <w:p w:rsidR="008A56D7" w:rsidRDefault="008A56D7"/>
        </w:tc>
      </w:tr>
      <w:tr w:rsidR="008A56D7" w:rsidTr="00822F7E">
        <w:tc>
          <w:tcPr>
            <w:tcW w:w="2561" w:type="dxa"/>
          </w:tcPr>
          <w:p w:rsidR="008A56D7" w:rsidRDefault="008A56D7">
            <w:pPr>
              <w:rPr>
                <w:b/>
                <w:sz w:val="32"/>
                <w:szCs w:val="32"/>
              </w:rPr>
            </w:pPr>
          </w:p>
          <w:p w:rsidR="008A56D7" w:rsidRDefault="008A56D7">
            <w:pPr>
              <w:rPr>
                <w:b/>
                <w:sz w:val="32"/>
                <w:szCs w:val="32"/>
              </w:rPr>
            </w:pPr>
          </w:p>
          <w:p w:rsidR="008A56D7" w:rsidRDefault="008A56D7">
            <w:pPr>
              <w:rPr>
                <w:b/>
                <w:sz w:val="32"/>
                <w:szCs w:val="32"/>
              </w:rPr>
            </w:pPr>
          </w:p>
        </w:tc>
        <w:tc>
          <w:tcPr>
            <w:tcW w:w="3487" w:type="dxa"/>
          </w:tcPr>
          <w:p w:rsidR="008A56D7" w:rsidRDefault="008A56D7">
            <w:pPr>
              <w:rPr>
                <w:rFonts w:cs="Arial"/>
                <w:color w:val="000000"/>
                <w:shd w:val="clear" w:color="auto" w:fill="FFFFFF"/>
              </w:rPr>
            </w:pPr>
          </w:p>
        </w:tc>
        <w:tc>
          <w:tcPr>
            <w:tcW w:w="4050" w:type="dxa"/>
          </w:tcPr>
          <w:p w:rsidR="008A56D7" w:rsidRDefault="008A56D7"/>
        </w:tc>
      </w:tr>
    </w:tbl>
    <w:p w:rsidR="002030EB" w:rsidRDefault="002030EB"/>
    <w:sectPr w:rsidR="002030EB" w:rsidSect="00493CDF">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EB"/>
    <w:rsid w:val="00110E24"/>
    <w:rsid w:val="001C033A"/>
    <w:rsid w:val="001F6B50"/>
    <w:rsid w:val="002030EB"/>
    <w:rsid w:val="00336DCD"/>
    <w:rsid w:val="00493CDF"/>
    <w:rsid w:val="006A721E"/>
    <w:rsid w:val="00822F7E"/>
    <w:rsid w:val="008A56D7"/>
    <w:rsid w:val="00A51AAE"/>
    <w:rsid w:val="00A84A57"/>
    <w:rsid w:val="00E32F47"/>
    <w:rsid w:val="00F8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84350"/>
  </w:style>
  <w:style w:type="character" w:customStyle="1" w:styleId="zivt14">
    <w:name w:val="zivt14"/>
    <w:basedOn w:val="DefaultParagraphFont"/>
    <w:rsid w:val="00F84350"/>
  </w:style>
  <w:style w:type="character" w:styleId="Hyperlink">
    <w:name w:val="Hyperlink"/>
    <w:basedOn w:val="DefaultParagraphFont"/>
    <w:uiPriority w:val="99"/>
    <w:unhideWhenUsed/>
    <w:rsid w:val="00F843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84350"/>
  </w:style>
  <w:style w:type="character" w:customStyle="1" w:styleId="zivt14">
    <w:name w:val="zivt14"/>
    <w:basedOn w:val="DefaultParagraphFont"/>
    <w:rsid w:val="00F84350"/>
  </w:style>
  <w:style w:type="character" w:styleId="Hyperlink">
    <w:name w:val="Hyperlink"/>
    <w:basedOn w:val="DefaultParagraphFont"/>
    <w:uiPriority w:val="99"/>
    <w:unhideWhenUsed/>
    <w:rsid w:val="00F843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legates" TargetMode="External"/><Relationship Id="rId13" Type="http://schemas.openxmlformats.org/officeDocument/2006/relationships/hyperlink" Target="http://en.wikipedia.org/wiki/Constituency" TargetMode="External"/><Relationship Id="rId3" Type="http://schemas.openxmlformats.org/officeDocument/2006/relationships/settings" Target="settings.xml"/><Relationship Id="rId7" Type="http://schemas.openxmlformats.org/officeDocument/2006/relationships/hyperlink" Target="http://en.wikipedia.org/wiki/Electoral_district" TargetMode="External"/><Relationship Id="rId12" Type="http://schemas.openxmlformats.org/officeDocument/2006/relationships/hyperlink" Target="http://en.wikipedia.org/wiki/Trustee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Representative_democracy" TargetMode="External"/><Relationship Id="rId11" Type="http://schemas.openxmlformats.org/officeDocument/2006/relationships/hyperlink" Target="http://en.wikipedia.org/wiki/Electoral_district" TargetMode="External"/><Relationship Id="rId5" Type="http://schemas.openxmlformats.org/officeDocument/2006/relationships/hyperlink" Target="http://www.opensecrets.org/earmarks/" TargetMode="External"/><Relationship Id="rId15" Type="http://schemas.openxmlformats.org/officeDocument/2006/relationships/hyperlink" Target="http://en.wikipedia.org/wiki/National_interest" TargetMode="External"/><Relationship Id="rId10" Type="http://schemas.openxmlformats.org/officeDocument/2006/relationships/hyperlink" Target="http://en.wiktionary.org/wiki/autonomy" TargetMode="External"/><Relationship Id="rId4" Type="http://schemas.openxmlformats.org/officeDocument/2006/relationships/webSettings" Target="webSettings.xml"/><Relationship Id="rId9" Type="http://schemas.openxmlformats.org/officeDocument/2006/relationships/hyperlink" Target="http://en.wikipedia.org/wiki/Constituency" TargetMode="External"/><Relationship Id="rId14" Type="http://schemas.openxmlformats.org/officeDocument/2006/relationships/hyperlink" Target="http://en.wiktionary.org/wiki/aut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CostaIV</dc:creator>
  <cp:lastModifiedBy>installer</cp:lastModifiedBy>
  <cp:revision>2</cp:revision>
  <cp:lastPrinted>2014-05-07T02:12:00Z</cp:lastPrinted>
  <dcterms:created xsi:type="dcterms:W3CDTF">2014-05-07T14:25:00Z</dcterms:created>
  <dcterms:modified xsi:type="dcterms:W3CDTF">2014-05-07T14:25:00Z</dcterms:modified>
</cp:coreProperties>
</file>